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220" w:type="dxa"/>
        <w:tblInd w:w="-252" w:type="dxa"/>
        <w:tblLook w:val="0000" w:firstRow="0" w:lastRow="0" w:firstColumn="0" w:lastColumn="0" w:noHBand="0" w:noVBand="0"/>
      </w:tblPr>
      <w:tblGrid>
        <w:gridCol w:w="5220"/>
      </w:tblGrid>
      <w:tr>
        <w:tblPrEx/>
        <w:trPr>
          <w:cantSplit/>
          <w:trHeight w:val="360"/>
        </w:trPr>
        <w:tc>
          <w:tcPr>
            <w:tcW w:w="5220" w:type="dxa"/>
            <w:textDirection w:val="lrTb"/>
            <w:noWrap w:val="false"/>
          </w:tcPr>
          <w:p>
            <w:pPr>
              <w:pStyle w:val="6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6725" cy="552450"/>
                      <wp:effectExtent l="19050" t="0" r="9525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44161034" name="Рисунок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6724" cy="55244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.75pt;height:43.50pt;mso-wrap-distance-left:0.00pt;mso-wrap-distance-top:0.00pt;mso-wrap-distance-right:0.00pt;mso-wrap-distance-bottom:0.00pt;" stroked="f" strokeweight="0.75pt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Муниципальное образование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</w:r>
          </w:p>
          <w:p>
            <w:pPr>
              <w:pStyle w:val="67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Тюльганский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</w:r>
          </w:p>
          <w:p>
            <w:pPr>
              <w:pStyle w:val="67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Муниципальное бюджетное общеобразовательное учреждение «Разномойская средняя общеобразовательная школа»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</w:r>
          </w:p>
          <w:p>
            <w:pPr>
              <w:pStyle w:val="67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  <w:p>
            <w:pPr>
              <w:pStyle w:val="67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Российская Федерация</w:t>
            </w: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  <w:p>
            <w:pPr>
              <w:pStyle w:val="67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Оренбургская область</w:t>
            </w: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  <w:p>
            <w:pPr>
              <w:pStyle w:val="67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462019,  </w:t>
            </w:r>
            <w:r>
              <w:rPr>
                <w:rFonts w:ascii="Times New Roman" w:hAnsi="Times New Roman" w:cs="Times New Roman"/>
                <w:szCs w:val="20"/>
              </w:rPr>
              <w:t xml:space="preserve">Тюльганский</w:t>
            </w:r>
            <w:r>
              <w:rPr>
                <w:rFonts w:ascii="Times New Roman" w:hAnsi="Times New Roman" w:cs="Times New Roman"/>
                <w:szCs w:val="20"/>
              </w:rPr>
              <w:t xml:space="preserve"> район, с</w:t>
            </w:r>
            <w:r>
              <w:rPr>
                <w:rFonts w:ascii="Times New Roman" w:hAnsi="Times New Roman" w:cs="Times New Roman"/>
                <w:szCs w:val="20"/>
              </w:rPr>
              <w:t xml:space="preserve">.Р</w:t>
            </w:r>
            <w:r>
              <w:rPr>
                <w:rFonts w:ascii="Times New Roman" w:hAnsi="Times New Roman" w:cs="Times New Roman"/>
                <w:szCs w:val="20"/>
              </w:rPr>
              <w:t xml:space="preserve">азномойка,                 ул. Советская,  58</w:t>
            </w: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  <w:p>
            <w:pPr>
              <w:pStyle w:val="67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телефон: (8-35332)  2-71-59</w:t>
            </w: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Cs w:val="20"/>
              </w:rPr>
              <w:t xml:space="preserve">: </w:t>
            </w:r>
            <w:hyperlink w:history="1">
              <w:r>
                <w:rPr>
                  <w:rStyle w:val="847"/>
                  <w:rFonts w:ascii="Times New Roman" w:hAnsi="Times New Roman" w:cs="Times New Roman"/>
                  <w:szCs w:val="20"/>
                </w:rPr>
                <w:t xml:space="preserve">raznomsosh@mail.ru  </w:t>
              </w:r>
            </w:hyperlink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 Р И К А З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01.10.2024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г.  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single"/>
              </w:rPr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single"/>
              </w:rPr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singl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Об утверждении антикоррупционной политики в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МБОУ «Разномойская СОШ»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6"/>
        <w:ind w:firstLine="760"/>
        <w:spacing w:before="0" w:after="0"/>
        <w:shd w:val="clear" w:color="auto" w:fill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В целях реализации статьи 13.3 Федерального закона от 25 декабря </w:t>
      </w:r>
      <w:r>
        <w:rPr>
          <w:rFonts w:ascii="Times New Roman" w:hAnsi="Times New Roman" w:cs="Times New Roman"/>
          <w:shd w:val="clear" w:color="auto" w:fill="ffffff"/>
        </w:rPr>
        <w:br/>
        <w:t xml:space="preserve">2008 года № 273-ФЗ «О</w:t>
      </w:r>
      <w:r>
        <w:rPr>
          <w:rFonts w:ascii="Times New Roman" w:hAnsi="Times New Roman" w:cs="Times New Roman"/>
          <w:shd w:val="clear" w:color="auto" w:fill="ffffff"/>
        </w:rPr>
        <w:t xml:space="preserve"> противодействии коррупции»,  руководствуясь методическими рекомендациями по разработке и принятию организациями мер по предупреждению и противодействию коррупции, утвержденных Министерством труда и социальной защиты Российской Федерации 8 ноября 2013 года</w:t>
      </w:r>
      <w:r>
        <w:rPr>
          <w:rFonts w:ascii="Times New Roman" w:hAnsi="Times New Roman" w:cs="Times New Roman"/>
          <w:shd w:val="clear" w:color="auto" w:fill="ffffff"/>
        </w:rPr>
        <w:t xml:space="preserve">, приказываю</w:t>
      </w:r>
      <w:r>
        <w:rPr>
          <w:rFonts w:ascii="Times New Roman" w:hAnsi="Times New Roman" w:cs="Times New Roman"/>
          <w:shd w:val="clear" w:color="auto" w:fill="ffffff"/>
        </w:rPr>
        <w:t xml:space="preserve">: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844"/>
        <w:ind w:left="0"/>
        <w:jc w:val="both"/>
        <w:tabs>
          <w:tab w:val="left" w:pos="993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Утвердить Антикоррупционную политику </w:t>
      </w:r>
      <w:r>
        <w:rPr>
          <w:sz w:val="28"/>
          <w:szCs w:val="28"/>
        </w:rPr>
        <w:t xml:space="preserve">МБОУ «Разномойская СОШ»</w:t>
      </w:r>
      <w:r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 xml:space="preserve">приказу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-2356485</wp:posOffset>
                </wp:positionH>
                <wp:positionV relativeFrom="paragraph">
                  <wp:posOffset>121285</wp:posOffset>
                </wp:positionV>
                <wp:extent cx="533400" cy="381000"/>
                <wp:effectExtent l="0" t="0" r="0" b="1905"/>
                <wp:wrapNone/>
                <wp:docPr id="2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3400" cy="381000"/>
                          <a:chOff x="621" y="7384"/>
                          <a:chExt cx="840" cy="720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621" y="7384"/>
                            <a:ext cx="8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/>
                              <w:r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61" y="774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64384;o:allowoverlap:true;o:allowincell:true;mso-position-horizontal-relative:text;margin-left:-185.55pt;mso-position-horizontal:absolute;mso-position-vertical-relative:text;margin-top:9.55pt;mso-position-vertical:absolute;width:42.00pt;height:30.00pt;mso-wrap-distance-left:9.00pt;mso-wrap-distance-top:0.00pt;mso-wrap-distance-right:9.00pt;mso-wrap-distance-bottom:0.00pt;" coordorigin="6,73" coordsize="8,7">
                <v:shape id="shape 2" o:spid="_x0000_s2" o:spt="202" type="#_x0000_t202" style="position:absolute;left:6;top:73;width:8;height:7;v-text-anchor:top;visibility:visible;" filled="f" stroked="f">
                  <v:textbox inset="0,0,0,0">
                    <w:txbxContent>
                      <w:p>
                        <w:r/>
                        <w:r/>
                      </w:p>
                    </w:txbxContent>
                  </v:textbox>
                </v:shape>
                <v:line id="shape 3" o:spid="_x0000_s3" style="position:absolute;left:0;text-align:left;z-index:251664384;visibility:visible;" from="6.2pt,73.8pt" to="14.6pt,81.0pt" filled="f" strokecolor="#000000" strokeweight="0.75pt"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</w:t>
      </w:r>
      <w:r>
        <w:rPr>
          <w:rFonts w:ascii="Times New Roman" w:hAnsi="Times New Roman" w:cs="Times New Roman"/>
          <w:sz w:val="28"/>
          <w:szCs w:val="28"/>
        </w:rPr>
        <w:t xml:space="preserve">Разномойская СОШ»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Анипко В.Д.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4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16"/>
        <w:gridCol w:w="7839"/>
      </w:tblGrid>
      <w:tr>
        <w:tblPrEx/>
        <w:trPr/>
        <w:tc>
          <w:tcPr>
            <w:tcW w:w="154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802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962"/>
        <w:jc w:val="righ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4962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приказу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962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01.10</w:t>
      </w:r>
      <w:r>
        <w:rPr>
          <w:rFonts w:ascii="Times New Roman" w:hAnsi="Times New Roman" w:cs="Times New Roman"/>
          <w:sz w:val="28"/>
          <w:szCs w:val="28"/>
        </w:rPr>
        <w:t xml:space="preserve">.202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jc w:val="right"/>
        <w:tabs>
          <w:tab w:val="clear" w:pos="4677" w:leader="none"/>
          <w:tab w:val="clear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580"/>
        <w:tabs>
          <w:tab w:val="left" w:pos="9720" w:leader="none"/>
          <w:tab w:val="left" w:pos="10076" w:leader="none"/>
          <w:tab w:val="left" w:pos="10260" w:leader="none"/>
          <w:tab w:val="left" w:pos="10800" w:leader="none"/>
          <w:tab w:val="left" w:pos="10992" w:leader="none"/>
          <w:tab w:val="left" w:pos="11340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АНТИКОРРУПЦИОННАЯ ПОЛИТИКА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Общие положения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Антикоррупционная политика (далее – Антикоррупционная политика) является локальным нормативным актом организации (далее </w:t>
      </w:r>
      <w:r>
        <w:rPr>
          <w:rFonts w:ascii="Times New Roman" w:hAnsi="Times New Roman" w:cs="Times New Roman"/>
          <w:sz w:val="28"/>
          <w:szCs w:val="28"/>
        </w:rPr>
        <w:t xml:space="preserve">-  Организация</w:t>
      </w:r>
      <w:r>
        <w:rPr>
          <w:rFonts w:ascii="Times New Roman" w:hAnsi="Times New Roman" w:cs="Times New Roman"/>
          <w:sz w:val="28"/>
          <w:szCs w:val="28"/>
        </w:rPr>
        <w:t xml:space="preserve">), определяющим ключевые принципы и требования, направленные на предотвращение коррупции и соблюдение норм применимого антикоррупционного законодательства работниками и иными лицами, которые могут действовать от имени Организации.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Антикоррупционная политика разработана в соответствии с Федеральном законом от 25.12.2008 № 273-ФЗ «О противодействии коррупции» и иными нормативными правовыми актами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термины и определения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Коррупция</w:t>
      </w:r>
      <w:r>
        <w:rPr>
          <w:rFonts w:ascii="Times New Roman" w:hAnsi="Times New Roman" w:cs="Times New Roman"/>
          <w:sz w:val="28"/>
          <w:szCs w:val="28"/>
        </w:rPr>
        <w:t xml:space="preserve"> - злоупотребление служебным положением, дача взятки, получение взятки, злоупотреблени</w:t>
      </w:r>
      <w:r>
        <w:rPr>
          <w:rFonts w:ascii="Times New Roman" w:hAnsi="Times New Roman" w:cs="Times New Roman"/>
          <w:sz w:val="28"/>
          <w:szCs w:val="28"/>
        </w:rPr>
        <w:t xml:space="preserve">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</w:t>
      </w:r>
      <w:r>
        <w:rPr>
          <w:rFonts w:ascii="Times New Roman" w:hAnsi="Times New Roman" w:cs="Times New Roman"/>
          <w:sz w:val="28"/>
          <w:szCs w:val="28"/>
        </w:rPr>
        <w:t xml:space="preserve">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 Коррупцией также является совершение перечисленных деяний от имени или в интересах юридического лица.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Противодействие коррупции</w:t>
      </w:r>
      <w:r>
        <w:rPr>
          <w:rFonts w:ascii="Times New Roman" w:hAnsi="Times New Roman" w:cs="Times New Roman"/>
          <w:sz w:val="28"/>
          <w:szCs w:val="28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 предупреждению коррупции, в том числе по выявлению и последующему устранению причин коррупции (профилактика коррупции);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 выявлению, предупреждению, пресечению, раскрытию и расследованию коррупционных правонарушений (борьба с коррупцией);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 минимизации и (или) ликвидации последствий коррупционных правонарушений.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Предупреждение коррупции</w:t>
      </w:r>
      <w:r>
        <w:rPr>
          <w:rFonts w:ascii="Times New Roman" w:hAnsi="Times New Roman" w:cs="Times New Roman"/>
          <w:sz w:val="28"/>
          <w:szCs w:val="28"/>
        </w:rPr>
        <w:t xml:space="preserve"> - деятельность Организации, ее должностных лиц и работников, направленная на формирование корпоративной культуры, создание организационной структуры, установление правил и процедур, обеспечивающих недопущение коррупционных правонарушений.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Коррупционное правонарушение</w:t>
      </w:r>
      <w:r>
        <w:rPr>
          <w:rFonts w:ascii="Times New Roman" w:hAnsi="Times New Roman" w:cs="Times New Roman"/>
          <w:sz w:val="28"/>
          <w:szCs w:val="28"/>
        </w:rPr>
        <w:t xml:space="preserve"> – противоправное виновное деяние (действие или бездействие), обладающее признаками коррупции, за которое законодательством установлена дисциплинарная, уголовная, гражданско-правовая или административная ответственность.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Коррупционные риски</w:t>
      </w:r>
      <w:r>
        <w:rPr>
          <w:rFonts w:ascii="Times New Roman" w:hAnsi="Times New Roman" w:cs="Times New Roman"/>
          <w:sz w:val="28"/>
          <w:szCs w:val="28"/>
        </w:rPr>
        <w:t xml:space="preserve"> – риски совершения коррупционного правонарушения должностным лицом, работником, представителем Организации или иным лицом, действующим от имени и/или в интересах Организации.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Антикоррупционная оговорка</w:t>
      </w:r>
      <w:r>
        <w:rPr>
          <w:rFonts w:ascii="Times New Roman" w:hAnsi="Times New Roman" w:cs="Times New Roman"/>
          <w:sz w:val="28"/>
          <w:szCs w:val="28"/>
        </w:rPr>
        <w:t xml:space="preserve"> – раздел договоров Организации, устанавливающий обязательства сторон по предотвращению совершения коррупционных правонарушений при исполнении договора и ответственность за неисполнение указанных обязательств.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Антикоррупционная политика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– комплекс взаимосвязанных принципов, процедур и конкретных мероприятий, направленных на профилактику и противодействие коррупции в Организации.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Антикоррупционные 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 – согласие должностного лица/работника/представителя/контрагента Организации на соблюдение и исполнение принципов, требований Антикоррупционной политики, в том числе обязанность не совершать коррупционные и иные правонарушения.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Антикоррупционный мониторинг</w:t>
      </w:r>
      <w:r>
        <w:rPr>
          <w:rFonts w:ascii="Times New Roman" w:hAnsi="Times New Roman" w:cs="Times New Roman"/>
          <w:sz w:val="28"/>
          <w:szCs w:val="28"/>
        </w:rPr>
        <w:t xml:space="preserve"> – сбор, анализ и обобщение реализуемых в Организации мер в области предупреждения и противодействия коррупции, которые </w:t>
      </w:r>
      <w:r>
        <w:rPr>
          <w:rFonts w:ascii="Times New Roman" w:hAnsi="Times New Roman" w:cs="Times New Roman"/>
          <w:sz w:val="28"/>
          <w:szCs w:val="28"/>
        </w:rPr>
        <w:t xml:space="preserve">могут включать, в том числе,  оценку эффективности таких мер; оценку и прогноз коррупционных факторов и сигналов; анализ и оценку данных, полученных в результате наблюдения; разработку прогнозов будущего состояния и тенденций развития соответствующих мер.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- юридическое лицо независимо от формы собственности, организационно-правовой формы и отраслевой принадлежности.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Контрагент</w:t>
      </w:r>
      <w:r>
        <w:rPr>
          <w:rFonts w:ascii="Times New Roman" w:hAnsi="Times New Roman" w:cs="Times New Roman"/>
          <w:sz w:val="28"/>
          <w:szCs w:val="28"/>
        </w:rPr>
        <w:t xml:space="preserve"> 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Взятка </w:t>
      </w:r>
      <w:r>
        <w:rPr>
          <w:rFonts w:ascii="Times New Roman" w:hAnsi="Times New Roman" w:cs="Times New Roman"/>
          <w:sz w:val="28"/>
          <w:szCs w:val="28"/>
        </w:rPr>
        <w:t xml:space="preserve">- получение должностным лицом, иностранным должностным лицом либо должностным лицом публичной международно</w:t>
      </w:r>
      <w:r>
        <w:rPr>
          <w:rFonts w:ascii="Times New Roman" w:hAnsi="Times New Roman" w:cs="Times New Roman"/>
          <w:sz w:val="28"/>
          <w:szCs w:val="28"/>
        </w:rPr>
        <w:t xml:space="preserve">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</w:t>
      </w:r>
      <w:r>
        <w:rPr>
          <w:rFonts w:ascii="Times New Roman" w:hAnsi="Times New Roman" w:cs="Times New Roman"/>
          <w:sz w:val="28"/>
          <w:szCs w:val="28"/>
        </w:rPr>
        <w:t xml:space="preserve">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Коммерческий подкуп</w:t>
      </w:r>
      <w:r>
        <w:rPr>
          <w:rFonts w:ascii="Times New Roman" w:hAnsi="Times New Roman" w:cs="Times New Roman"/>
          <w:sz w:val="28"/>
          <w:szCs w:val="28"/>
        </w:rPr>
        <w:t xml:space="preserve"> - незаконная передача </w:t>
      </w:r>
      <w:hyperlink r:id="rId9" w:tooltip="https://login.consultant.ru/link/?rnd=200E0E9A53FA47394FC8E04A4C81944C&amp;req=doc&amp;base=LAW&amp;n=355123&amp;dst=100025&amp;fld=134&amp;REFFIELD=134&amp;REFDST=1997&amp;REFDOC=358826&amp;REFBASE=LAW&amp;stat=refcode%3D16610%3Bdstident%3D100025%3Bindex%3D3849&amp;date=17.09.2020" w:history="1">
        <w:r>
          <w:rPr>
            <w:rStyle w:val="84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лицу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выполняющему управленческие функции в коммерческой или иной организации, денег, ценных бумаг, иного имущества, а также незаконные оказание ему услуг иму</w:t>
      </w:r>
      <w:r>
        <w:rPr>
          <w:rFonts w:ascii="Times New Roman" w:hAnsi="Times New Roman" w:cs="Times New Roman"/>
          <w:sz w:val="28"/>
          <w:szCs w:val="28"/>
        </w:rPr>
        <w:t xml:space="preserve">щественного характера, предоставление иных имущественных прав (в том числе когда по 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</w:t>
      </w:r>
      <w:r>
        <w:rPr>
          <w:rFonts w:ascii="Times New Roman" w:hAnsi="Times New Roman" w:cs="Times New Roman"/>
          <w:sz w:val="28"/>
          <w:szCs w:val="28"/>
        </w:rPr>
        <w:t xml:space="preserve"> за совершение действий 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(бездействию).</w:t>
      </w:r>
      <w:r>
        <w:rPr>
          <w:rFonts w:ascii="Times New Roman" w:hAnsi="Times New Roman" w:cs="Times New Roman"/>
          <w:strike/>
          <w:sz w:val="28"/>
          <w:szCs w:val="28"/>
        </w:rPr>
      </w:r>
      <w:r>
        <w:rPr>
          <w:rFonts w:ascii="Times New Roman" w:hAnsi="Times New Roman" w:cs="Times New Roman"/>
          <w:strike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Конфликт интересов</w:t>
      </w:r>
      <w:r>
        <w:rPr>
          <w:rFonts w:ascii="Times New Roman" w:hAnsi="Times New Roman" w:cs="Times New Roman"/>
          <w:sz w:val="28"/>
          <w:szCs w:val="28"/>
        </w:rPr>
        <w:t xml:space="preserve"> - ситуация, при которой личная заинтересованность (прямая или косвенная) лица, замещающего должность, замещение </w:t>
      </w:r>
      <w:r>
        <w:rPr>
          <w:rFonts w:ascii="Times New Roman" w:hAnsi="Times New Roman" w:cs="Times New Roman"/>
          <w:sz w:val="28"/>
          <w:szCs w:val="28"/>
        </w:rPr>
        <w:t xml:space="preserve">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Личная заинтересованность должностного лица/ работника/ представителя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- возможность получения доходов в виде денег, иного имущества, в том числе имущественных прав, услуг имущественного </w:t>
      </w:r>
      <w:r>
        <w:rPr>
          <w:rFonts w:ascii="Times New Roman" w:hAnsi="Times New Roman" w:cs="Times New Roman"/>
          <w:sz w:val="28"/>
          <w:szCs w:val="28"/>
        </w:rPr>
        <w:t xml:space="preserve">характера, результатов выполненных работ или каких-либо выгод (преимуществ) должностным лицом/работником/представителем Организации, и (или) состоящими с ним в близком родстве или свойстве лицами (родителями, супругами, детьми, братьями, сестрами, а также </w:t>
      </w:r>
      <w:r>
        <w:rPr>
          <w:rFonts w:ascii="Times New Roman" w:hAnsi="Times New Roman" w:cs="Times New Roman"/>
          <w:sz w:val="28"/>
          <w:szCs w:val="28"/>
        </w:rPr>
        <w:t xml:space="preserve">братьями, сестрами, родителями, детьми</w:t>
      </w:r>
      <w:r>
        <w:rPr>
          <w:rFonts w:ascii="Times New Roman" w:hAnsi="Times New Roman" w:cs="Times New Roman"/>
          <w:sz w:val="28"/>
          <w:szCs w:val="28"/>
        </w:rPr>
        <w:t xml:space="preserve"> супругов и супругами детей), гражданами или организациями, с которыми должностное лицо/работник/представитель Организации, и (или) лица, состоящие с ним в близком родстве или свойстве, связаны имущественными, корпоративными или иными близкими отношениями.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«Горячая линия» по вопросам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 – каналы связи для приема сообщений, содержащих сведения о фактах коррупции, хищения собственности Организации, корпоративного мошенничества, недобросовестной конкуренции, конфликта интересов, иных сообщений.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Цели и принципы Антикоррупционной политики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Антикоррупционная политика отражает приверженность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высоким этическим стандартам и принципам открытого и честного взаимодействия, а также стремление к совершенствованию корпоративной культуры, следованию лучшим практикам корпоративного управления и поддержанию деловой репутации на должном уровне.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Основными целями Антикоррупционной политики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минимизация риска вовлечения должностных лиц, работников, представителей и контрагентов Организации, независимо от занимаемой должности, в коррупционные правонарушения;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формирование у должностных лиц, работников, представителей, контрагентов Организации единообразного понимания Антикоррупционной политики о непринятии коррупции в любых формах и проявлениях;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установление обязанности должностных лиц, работников, представителей и контрагентов Организации знать и соблюдать ключевые нормы антикоррупционного законодательства, применимые требования Антикоррупционной политики.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2.3.</w:t>
      </w:r>
      <w:r>
        <w:rPr>
          <w:rFonts w:ascii="Times New Roman" w:hAnsi="Times New Roman" w:cs="Times New Roman"/>
          <w:sz w:val="28"/>
          <w:szCs w:val="28"/>
        </w:rPr>
        <w:t xml:space="preserve"> Антикоррупционная политика Организации основана на следующих принципах: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 Принцип неприятия коррупции в любых формах и проявлениях;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Принцип соответствия Антикоррупционной политики Организации действующему законодательству и общепринятым нормам.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Антикоррупционная политика соответствует </w:t>
      </w:r>
      <w:hyperlink r:id="rId10" w:tooltip="consultantplus://offline/ref=1C17CACC4FE58226B88A9FBB4AE713F4E08F841A7115B1844C22AB01052C0B68D0BF0919CB1FD9B2A2C5E4s378L" w:history="1">
        <w:r>
          <w:rPr>
            <w:rStyle w:val="84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заключенным Российской Федерацией </w:t>
      </w:r>
      <w:r>
        <w:rPr>
          <w:rFonts w:ascii="Times New Roman" w:hAnsi="Times New Roman" w:cs="Times New Roman"/>
          <w:sz w:val="28"/>
          <w:szCs w:val="28"/>
        </w:rPr>
        <w:t xml:space="preserve">международным договорам, законодательству и иным нормативным правовым актам Российской Федерации, применимым к Организации.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 Принцип личного примера руководства.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2.3.4. Принцип информированности и вовлеченности работников.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Организации регулярно информируются о положениях антикоррупционного законодательства и активно участвуют в формировании и реализации антикоррупционных стандартов и процедур.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2.3.5. Принцип соразмерности антикоррупционных процедур риску коррупции.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Организации разрабатываются и выполняются мероприятия, позволяющие снизить вероятность вовлечения Организации, ее должностных лиц, работников, представителей и контрагентов в коррупционную деятельность.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2.3.6. Принцип эффективности антикоррупционных процедур.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Организации применяют такие антикоррупционные мероприятия, которые обеспечивают простоту реализации и приносят значимый результат.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2.3.7. Принцип ответственности и неотвратимости наказания.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Неотвратимость наказания для должностных лиц/работников/представителей Орг</w:t>
      </w:r>
      <w:r>
        <w:rPr>
          <w:rFonts w:ascii="Times New Roman" w:hAnsi="Times New Roman" w:cs="Times New Roman"/>
          <w:sz w:val="28"/>
          <w:szCs w:val="28"/>
        </w:rPr>
        <w:t xml:space="preserve">анизации вне зависимости от занимаемой должности, стажа работы и иных условий в случае совершения ими коррупционных правонарушений, а также персональная ответственность руководства Организации за реализацию внутриорганизационной Антикоррупционной политики.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2.3.8. Принцип постоянного контроля и регулярного мониторинга.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Организации регулярно осуществляется мониторинг эффективности внедренных антикоррупционных стандартов и процедур, а также контроля за их исполнением.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Область применения Антикоррупционной политики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Основным кругом лиц, попадающих под действие Антикоррупционной политики, являются должностные лица и работники </w:t>
      </w:r>
      <w:r>
        <w:rPr>
          <w:rFonts w:ascii="Times New Roman" w:hAnsi="Times New Roman" w:cs="Times New Roman"/>
          <w:sz w:val="28"/>
          <w:szCs w:val="28"/>
        </w:rPr>
        <w:t xml:space="preserve">Организации, находящиеся с ней в трудовых отношениях, вне зависимости от занимаемой должности и вы</w:t>
      </w:r>
      <w:r>
        <w:rPr>
          <w:rFonts w:ascii="Times New Roman" w:hAnsi="Times New Roman" w:cs="Times New Roman"/>
          <w:sz w:val="28"/>
          <w:szCs w:val="28"/>
        </w:rPr>
        <w:t xml:space="preserve">полняемых функций. Антикоррупционная политика распространяется также на лиц, действующих от имени организации по Доверенности (представителей) и на лиц, выполняющих для Организации работы или предоставляющие услуги на основе гражданско-правовых договоров.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Обязанности должностных лиц/работников/представителей Организации в связи с предупреждением и противодействием коррупции: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не совершать и не участвовать в совершении коррупционных правонарушений;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воздерживаться от поведения, которое может быть истолковано окружающими как намерение или готовность совершить или участвовать в совершении коррупционного правонарушения;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 незамедлительно информировать лицо или подразделение, которое отвечает за профилактику коррупционных правонарушений в Организации, либо незамедлительно сообщить на «Горячую линию» по вопросам противодействия коррупции: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 случаях склонения должностного лица/работника/представителя к совершению коррупционных правонарушений;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 ставшей известной должностному лицу/работнику/представителю информации о случаях совершения коррупционных правонарушений другими работниками, контрагентами Организации или иными лицами;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</w:t>
      </w:r>
      <w:r>
        <w:rPr>
          <w:rFonts w:ascii="Times New Roman" w:hAnsi="Times New Roman" w:cs="Times New Roman"/>
          <w:sz w:val="28"/>
          <w:szCs w:val="28"/>
        </w:rPr>
        <w:t xml:space="preserve">4. сообщать лицу или в подразделение, которое отвечает за профилактику коррупционных правонарушений в Организации, о возможности возникновения у должностного лица/работника/представителя Организации конфликта интересов либо о возникшем конфликте интересов.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Исходя из положений </w:t>
      </w:r>
      <w:hyperlink r:id="rId11" w:tooltip="consultantplus://offline/ref=EC856D0F3AE987076DA2D8D4FEC963AE3E39DECA3E83EF0E19411C5C201F83B353C4D7E005AD61EFB62E18F74A9ACB07BF613B0626K0L7M" w:history="1">
        <w:r>
          <w:rPr>
            <w:rStyle w:val="84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статьи 57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ТК РФ по соглашению сторон, в трудовой договор, заключаемый с работником при приеме его на работу в Организацию, могут включаться права и обязанности работника и работодателя, установленные Антикоррупционной политикой.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 Руководство Организации должно формировать этический стандарт непримиримого отношения должностных лиц и работников к любым формам и проявлениям коррупции на всех уровнях, подавая пример своим поведением.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В Организации закрепляется принцип неприятия коррупции в любых формах и проявлениях.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Периодическая оценка рисков.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выявляет, рассматривает и оценивает коррупционные риски, характерные для ее деятельности в целом и для отдельных направлений.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Организация разрабатывает и внедряет антикоррупционные процедуры.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Организация доводит Антикоррупционную политику до сведения своих </w:t>
      </w:r>
      <w:r>
        <w:rPr>
          <w:rFonts w:ascii="Times New Roman" w:hAnsi="Times New Roman" w:cs="Times New Roman"/>
          <w:sz w:val="28"/>
          <w:szCs w:val="28"/>
        </w:rPr>
        <w:t xml:space="preserve">работников под роспись, размещает ее в свободном доступе на официальном сайте в сети «Интернет», открыто заявляет о неприятии коррупции, приветствует и поощряет соблюдение принципов и требований Антикоррупционной политики всеми работниками и иными лицами.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содействует повышению уровня антикоррупционной культуры путем информирования и систематического обучения работников в целях поддержания их осведомленности в вопросах Антикоррупционной политики.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Организация осуществляет мониторинг внедренных процедур по предотвращению коррупции, контролирует их соблюдение, а при необходимости пересматривает и совершенствует их.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Подарки и представительские расходы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Подарки, которые должностные лица/работники/представители от имени Организации могут предоставлять другим лицам и организациям, либо которые должностные лица/ работники/представители, в связи с их работой в Организации, могут получать от</w:t>
      </w:r>
      <w:r>
        <w:rPr>
          <w:rFonts w:ascii="Times New Roman" w:hAnsi="Times New Roman" w:cs="Times New Roman"/>
          <w:sz w:val="28"/>
          <w:szCs w:val="28"/>
        </w:rPr>
        <w:t xml:space="preserve"> других лиц и организаций, а также представительские расходы, в том числе, расходы на деловое гостеприимство и продвижение Организации, которые работники и иные лица от имени Организации могут нести, должны соответствовать одновременно указанным критериям: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быть прямо связаны с законными целями деятельности Организации;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быть разумно обоснованными, соразмерными и не являться предметами роскоши;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не создавать репутационных рисков для работников Организации и иных лиц в случае раскрытия информации о подарках или представительских расходах;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4.1.4. не противоречить принципам и требованиям федерального законодательства, Антикоррупционной политики и иных локальных актов Организации.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Не допускаются подарки от имени Организации, её должностных лиц, работников или представителей третьим лицам в виде наличных или безналичных денежных средств, или их эквивалента в любом выражении.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Для учета предоставления подарков от имени Организации должностными лицами/ра</w:t>
      </w:r>
      <w:r>
        <w:rPr>
          <w:rFonts w:ascii="Times New Roman" w:hAnsi="Times New Roman" w:cs="Times New Roman"/>
          <w:sz w:val="28"/>
          <w:szCs w:val="28"/>
        </w:rPr>
        <w:t xml:space="preserve">ботниками/представителями третьим лицам и получения подарков должностными лицами/работниками/представителями от третьих лиц Организация может организовать ведение соответствующих реестров подарков и назначить лицо, ответственное за ведение таких реестров.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Участие в благотворительной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не финансирует благотворительные проекты в целях получения коммерческих преимуществ.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Участие в политической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не финансирует политические партии, организации и движения, отдельные политические фигуры в целях получения коммерческих преимуществ или общего покровительства.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Взаимодействие с государственными и муниципальными служащими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воздерживается от оплаты любых расходов за государственных и муниципальных служащих Российской Федерации, должностных лиц международных ор</w:t>
      </w:r>
      <w:r>
        <w:rPr>
          <w:rFonts w:ascii="Times New Roman" w:hAnsi="Times New Roman" w:cs="Times New Roman"/>
          <w:sz w:val="28"/>
          <w:szCs w:val="28"/>
        </w:rPr>
        <w:t xml:space="preserve">ганизаций и их близких родственников (или в их интересах) в целях получения коммерческих преимуществ или общего покровительства, в том числе расходов на транспорт, проживание, питание, развлечения, рекламу или получения ими за счет Организации иной выгоды.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Взаимодействие с должностными лицами, работниками и представителями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Организация требует от своих должно</w:t>
      </w:r>
      <w:r>
        <w:rPr>
          <w:rFonts w:ascii="Times New Roman" w:hAnsi="Times New Roman" w:cs="Times New Roman"/>
          <w:sz w:val="28"/>
          <w:szCs w:val="28"/>
        </w:rPr>
        <w:t xml:space="preserve">стных лиц, работников, представителей и лиц, выполняющих для нее работы или оказывающих ей услуги на основании гражданско-правового договора соблюдения Антикоррупционной политики, информируя их о ключевых принципах, требованиях и санкциях за ее нарушение.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Организация обеспечивает безопасные, конфиденциальные и доступные для должностных лиц/работников/представителей средства информирования ру</w:t>
      </w:r>
      <w:r>
        <w:rPr>
          <w:rFonts w:ascii="Times New Roman" w:hAnsi="Times New Roman" w:cs="Times New Roman"/>
          <w:sz w:val="28"/>
          <w:szCs w:val="28"/>
        </w:rPr>
        <w:t xml:space="preserve">ководства Организации и/или лица, ответственного за профилактику коррупционных правонарушений в Организации, о фактах коррупционных проявлений со стороны третьих лиц. Организация приветствует предложения по улучшению антикоррупционных процедур и контроля.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Для формирования надлежащего уровня антикоррупционной культуры с новыми работниками Организации проводится вводный инструктаж по положениям Антикоррупционной политики и связанных с ней документов.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Любой работник Организации или иное лицо, в случае появления о</w:t>
      </w:r>
      <w:r>
        <w:rPr>
          <w:rFonts w:ascii="Times New Roman" w:hAnsi="Times New Roman" w:cs="Times New Roman"/>
          <w:sz w:val="28"/>
          <w:szCs w:val="28"/>
        </w:rPr>
        <w:t xml:space="preserve">беспокоенности или сомнений в правомерности своих действий, либо действий/бездействия других работников, должностных лиц, представителей, контрагентов или иных лиц, которые взаимодействуют с Организацией, может сообщить о своей обеспокоенности или сомнения</w:t>
      </w:r>
      <w:r>
        <w:rPr>
          <w:rFonts w:ascii="Times New Roman" w:hAnsi="Times New Roman" w:cs="Times New Roman"/>
          <w:sz w:val="28"/>
          <w:szCs w:val="28"/>
        </w:rPr>
        <w:t xml:space="preserve">х своему непосредственному руководителю, лицу, которое отвечает за профилактику коррупционных правонарушений в Организации.  Организация дополнительно обеспечивает работникам и любым другим лицам возможность выразить указанную обеспокоенность или сомнения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через каналы связи, организованные специально для сообщений о коррупционных правонарушениях (например, через «Горячую линию» по вопросам противодействия коррупции).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 Взаимодействие с третьими лицами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Организации и ее должностным лицам/работникам/представителям запрещается</w:t>
      </w:r>
      <w:r>
        <w:rPr>
          <w:rFonts w:ascii="Times New Roman" w:hAnsi="Times New Roman" w:cs="Times New Roman"/>
          <w:sz w:val="28"/>
          <w:szCs w:val="28"/>
        </w:rPr>
        <w:t xml:space="preserve"> привлекать или использовать посредников, партнеров, контрагентов, агентов или иных лиц для совершения каких-либо действий, которые противоречат принципам и требованиям Антикоррупционной политики или нормам применимого антикоррупционного законодательства.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Организа</w:t>
      </w:r>
      <w:r>
        <w:rPr>
          <w:rFonts w:ascii="Times New Roman" w:hAnsi="Times New Roman" w:cs="Times New Roman"/>
          <w:sz w:val="28"/>
          <w:szCs w:val="28"/>
        </w:rPr>
        <w:t xml:space="preserve">ция обеспечивает наличие процедур по проверке посредников, партнеров, контрагентов, агентов и иных лиц для предотвращения и/или выявления описанных выше нарушений в целях минимизации и пресечения рисков вовлечения Организации в коррупционную деятельность.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В целях исполнения принципов и требований, предусмотренных в Антикоррупционной политике, Организация осуществляет включение антикоррупционных условий (оговорок) в договоры с посредниками, партнерами, контрагентами, агентами и иными лицами.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</w:t>
      </w:r>
      <w:r>
        <w:rPr>
          <w:rFonts w:ascii="Times New Roman" w:hAnsi="Times New Roman" w:cs="Times New Roman"/>
          <w:sz w:val="28"/>
          <w:szCs w:val="28"/>
        </w:rPr>
        <w:t xml:space="preserve">тикоррупционные условия (оговорки) должны содержать сведения об общих принципах, и антикоррупционных процедурах, которые стороны должны соблюдать, и определять ответственность контрагентов за несоблюдение принципов и требований Антикоррупционной политики.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10. «Горячая линия» по вопросам противодействия коррупции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поддержания высокого уровня доверия к Организации, а также профилактики и пресечения фактов коррупции, в Организации функционирует «Горячая линия» по вопросам противодействия коррупции (далее – «горячая линия»).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Обратившись по «горячей линии», работник/представитель Организации, контр</w:t>
      </w:r>
      <w:r>
        <w:rPr>
          <w:rFonts w:ascii="Times New Roman" w:hAnsi="Times New Roman" w:cs="Times New Roman"/>
          <w:sz w:val="28"/>
          <w:szCs w:val="28"/>
        </w:rPr>
        <w:t xml:space="preserve">агент, или любое другое лицо может в удобной для него форме, в том числе на условиях анонимности, сообщить о ставших ему известными фактах коррупционных правонарушений, конфликта интересов, нарушений положений Антикоррупционной политики, а также о своей об</w:t>
      </w:r>
      <w:r>
        <w:rPr>
          <w:rFonts w:ascii="Times New Roman" w:hAnsi="Times New Roman" w:cs="Times New Roman"/>
          <w:sz w:val="28"/>
          <w:szCs w:val="28"/>
        </w:rPr>
        <w:t xml:space="preserve">еспокоенности или сомнениях в соответствии своих действий, либо действий/бездействия других работников, должностных лиц, представителей, контрагентов или иных лиц, которые взаимодействуют с Организацией, принципам и требованиям Антикоррупционной политики.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 «горячей линии» размещаются на официальном сайте Организации в сети Интернет, на информационных стендах и в иных общедоступных местах.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11. Отказ от ответных мер и санкций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заявляет о том, что ни один её работник/представитель не будет подвергнут санкци</w:t>
      </w:r>
      <w:r>
        <w:rPr>
          <w:rFonts w:ascii="Times New Roman" w:hAnsi="Times New Roman" w:cs="Times New Roman"/>
          <w:sz w:val="28"/>
          <w:szCs w:val="28"/>
        </w:rPr>
        <w:t xml:space="preserve">ям (в том числе уволен, понижен в должности, лишен стимулирующих выплат), если он сообщил о предполагаемых или известных ему действиях/бездействии любых работников Организации или иных лиц, взаимодействующих с Организацией, которые противоречат законодател</w:t>
      </w:r>
      <w:r>
        <w:rPr>
          <w:rFonts w:ascii="Times New Roman" w:hAnsi="Times New Roman" w:cs="Times New Roman"/>
          <w:sz w:val="28"/>
          <w:szCs w:val="28"/>
        </w:rPr>
        <w:t xml:space="preserve">ьству о противодействии коррупции или положениям Антикоррупционной политики, включая, помимо прочего, случаи, когда такой работник/представитель отказался дать или получить взятку, совершить коммерческий подкуп или оказать посредничество во взяточничестве.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Рассмотрение информации о фактах коррупционных правонарушений и иных нарушениях Антикоррупционной политики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 или подразделение, отвечающее за профилактику коррупции в Организации, обеспечивает рассмотрение и тщательную проверку информации об имеющихся или предполагаемых фактах коррупционных правонарушений или иных нарушений положений Антикоррупционной </w:t>
      </w:r>
      <w:r>
        <w:rPr>
          <w:rFonts w:ascii="Times New Roman" w:hAnsi="Times New Roman" w:cs="Times New Roman"/>
          <w:sz w:val="28"/>
          <w:szCs w:val="28"/>
        </w:rPr>
        <w:t xml:space="preserve">политики, которую Организацию получает по любым каналам связи, включая, помимо прочего,</w:t>
      </w:r>
      <w:r>
        <w:rPr>
          <w:rFonts w:ascii="Times New Roman" w:hAnsi="Times New Roman" w:cs="Times New Roman"/>
          <w:sz w:val="28"/>
          <w:szCs w:val="28"/>
        </w:rPr>
        <w:t xml:space="preserve"> сообщения, поступающие на «горячую линию», сообщения, доводимые до сведения лица или подразделения, отвечающего за профилактику коррупции в Организации, информацию, полученную в результате проведения внутреннего контроля или внешнего аудита Организации.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внедряет необходимые процедуры,</w:t>
      </w:r>
      <w:r>
        <w:rPr>
          <w:rFonts w:ascii="Times New Roman" w:hAnsi="Times New Roman" w:cs="Times New Roman"/>
          <w:sz w:val="28"/>
          <w:szCs w:val="28"/>
        </w:rPr>
        <w:t xml:space="preserve"> принимает необходимые локальные нормативные акты, наделяет лиц, проводящих проверку, всеми необходимыми полномочиями и ресурсами, в том числе, независимостью от любых других должностных лиц и подразделений Организации, для проведения указанных проверок.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и процедурами, определяемыми Организацией, результаты таких проверок доводятся до сведения и рассмотрения руководства Организации, и по итогам рассмотрения таких результатов принимаются решения, обеспечивающие выпо</w:t>
      </w:r>
      <w:r>
        <w:rPr>
          <w:rFonts w:ascii="Times New Roman" w:hAnsi="Times New Roman" w:cs="Times New Roman"/>
          <w:sz w:val="28"/>
          <w:szCs w:val="28"/>
        </w:rPr>
        <w:t xml:space="preserve">лнение требований Антикоррупционной политики (включая, например, решения об усовершенствовании мер профилактики и противодействия коррупции в Организации, о применении мер дисциплинарной ответственности к лицам, совершившим коррупционные правонарушения).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13. Проведение антикоррупционного анализа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обеспечивает проведение антикоррупционного анализа проектов локальных нормативных актов и локальных нормативных актов Организации в целях исключения рисков установления предпосылок для коррупционных правонарушений.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Аудит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контроль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14.1.</w:t>
      </w:r>
      <w:r>
        <w:rPr>
          <w:rFonts w:ascii="Times New Roman" w:hAnsi="Times New Roman" w:cs="Times New Roman"/>
          <w:sz w:val="28"/>
          <w:szCs w:val="28"/>
        </w:rPr>
        <w:tab/>
        <w:t xml:space="preserve">В Организации проводится внутренний аудит финансово-хозяйственной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ельности, контроль за полнотой и правильностью отражения данных в бухгалтерском учете и соблюдением требований применимого законодательства и внутренних нормативных документов, в том числе принципов и требований, установленных Антикоррупционной политикой.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14.2.</w:t>
      </w:r>
      <w:r>
        <w:rPr>
          <w:rFonts w:ascii="Times New Roman" w:hAnsi="Times New Roman" w:cs="Times New Roman"/>
          <w:sz w:val="28"/>
          <w:szCs w:val="28"/>
        </w:rPr>
        <w:tab/>
        <w:t xml:space="preserve">В рамках процедур внутреннего контроля в Организации осуществляются проверки ключевых направлений деяте</w:t>
      </w:r>
      <w:r>
        <w:rPr>
          <w:rFonts w:ascii="Times New Roman" w:hAnsi="Times New Roman" w:cs="Times New Roman"/>
          <w:sz w:val="28"/>
          <w:szCs w:val="28"/>
        </w:rPr>
        <w:t xml:space="preserve">льности, включая выборочные проверки законности осуществляемых платежей, их экономической обоснованности, целесообразности расходов, в том числе на предмет подтверждения первичными учетными документами и соответствия требованиям Антикоррупционной политики.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15. Внесение изменений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на периодической основе осуществляет пересмотр своих политик и процедур.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выявлении недостаточно эффективных положений Антикоррупционной политики или связанных с ней антикоррупционных процеду</w:t>
      </w:r>
      <w:r>
        <w:rPr>
          <w:rFonts w:ascii="Times New Roman" w:hAnsi="Times New Roman" w:cs="Times New Roman"/>
          <w:sz w:val="28"/>
          <w:szCs w:val="28"/>
        </w:rPr>
        <w:t xml:space="preserve">р организации, либо при изменении требований применимого законодательства Российской Федерации, руководство Организации организует выработку и реализацию плана действий по пересмотру и изменению Антикоррупционной политики и/или антикоррупционных процедур.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16. Ответственные за реализацию Антикоррупционной политики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16.1.</w:t>
      </w:r>
      <w:r>
        <w:rPr>
          <w:rFonts w:ascii="Times New Roman" w:hAnsi="Times New Roman" w:cs="Times New Roman"/>
          <w:sz w:val="28"/>
          <w:szCs w:val="28"/>
        </w:rPr>
        <w:tab/>
        <w:t xml:space="preserve">Ответственным за реализацию Антикоррупционной политики является руководитель Организации/генеральный директор.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реализацию Антикоррупционной политики обязан обеспечить выполнение требований действующего законодательства о противодействии коррупции и локальных нормативных актов Организации, направленных на реализацию мер по предупреждению коррупции.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16.2.</w:t>
      </w:r>
      <w:r>
        <w:rPr>
          <w:rFonts w:ascii="Times New Roman" w:hAnsi="Times New Roman" w:cs="Times New Roman"/>
          <w:sz w:val="28"/>
          <w:szCs w:val="28"/>
        </w:rPr>
        <w:tab/>
        <w:t xml:space="preserve">Ответственным за реализацию мер по предупреждению коррупции в Организации является специализированное подразделение/работник Организации, ответственный за профилактику коррупционных правонарушений, которое: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16.2.1. организует работу по профилактике и противодействию коррупции в Организации в соответствии с Антикоррупционной политикой;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16.2.2. организует разработку проектов локальных нормативных актов, направленных на реализацию перечня антикоррупционных мероприятий, определенных Антикоррупционной политикой, и предоставляет их на утверждение руководству Организации.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16.3. Организация принимает необходим</w:t>
      </w:r>
      <w:r>
        <w:rPr>
          <w:rFonts w:ascii="Times New Roman" w:hAnsi="Times New Roman" w:cs="Times New Roman"/>
          <w:sz w:val="28"/>
          <w:szCs w:val="28"/>
        </w:rPr>
        <w:t xml:space="preserve">ые локальные нормативные акты и реализует необходимые административные, технические и иные меры по обеспечению независимой деятельности лиц, входящих в состав подразделения/ работника, отвечающего за профилактику коррупционных правонарушений в Организации.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17. Перечень реализуемых в Организации антикоррупционных мероприятий, стандартов и процедур, порядок их выполнения.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699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880"/>
        <w:gridCol w:w="6819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Нормативное обеспечение, закрепление стандартов поведения и декларация намерений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принятие кодекса этики и служебного поведения работников, должностных лиц и представителей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внедрение положения о предотвращении и урегулировании конфликта интересов, декларации о конфликте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договоры, связанные с хозяйственной деятельностью организации, стандартной антикоррупционной оговорки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антикоррупционных положений в трудовые договоры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введение специальных антикоррупционных процедур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процедуры информирования Организации работниками, должностными лицами и представителями о возникновении конфликта интересов и порядка урегулирования выявленного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процедуры информирования Организации работниками, должност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ными лицами и представителями о случаях склонения их к совершению коррупционных правонарушений и порядка рассмотрения таких сообщений, включая создание доступных каналов передачи обозначенной информации (механизмов «обратной связи», «горячей линии» и т.п.)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процедуры информирования Организации работниками и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ыми лицами о ставшей им известной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(механизмов «обратной связи», «горячей линии» и т.п.)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процедуры рассмотрения сообщений работников и иных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игналов об известных или предполагаемых коррупционных правонарушениях и/или иных нарушениях Антикоррупционной политики, допущенных должностными лицами/работниками/представителями/ контрагентами Организации и иными лицами, взаимодействующими с Организацией,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также процедуры проведения внутренних проверок, информирования руководства Организации о результатах таких проверок и принятия по результатам таких проверок мер, направленных на усовершенствование предупреждения и противодействия коррупции в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декларации о конфликте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контрагентов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Документирование и реализация процедур по проверке контрагентов и иных лиц для предотвращения и/или выявления рисков вовлечения Организации в коррупционную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и информирование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регулярного контроля соблюдения внутренних процедур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обучающих мероприятий по вопросам профилактики и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результатов проводимой антикоррупционной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распространение отчетных материалов о проводимой работе и достигнутых результатах в сфере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Ответственность должностных лиц/работников/представителей Организации за несоблюдение требований Антикоррупционной политики.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18.1. Организация требует соблюдения её должностными лицами/работниками/представителями требований Антикоррупционной политики, информируя их о ключевых принципах, требованиях и санкциях за нарушения.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работник Организации при</w:t>
      </w:r>
      <w:r>
        <w:rPr>
          <w:rFonts w:ascii="Times New Roman" w:hAnsi="Times New Roman" w:cs="Times New Roman"/>
          <w:sz w:val="28"/>
          <w:szCs w:val="28"/>
        </w:rPr>
        <w:t xml:space="preserve"> заключении трудового договора, а также её должностные лица и представители должны быть ознакомлены под роспись с Антикоррупционной политикой и локальными нормативными актами, касающимися предупреждения и противодействия коррупции, изданными в Организации.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18.2. Должностные лица/работники/представители Организации независимо от зан</w:t>
      </w:r>
      <w:r>
        <w:rPr>
          <w:rFonts w:ascii="Times New Roman" w:hAnsi="Times New Roman" w:cs="Times New Roman"/>
          <w:sz w:val="28"/>
          <w:szCs w:val="28"/>
        </w:rPr>
        <w:t xml:space="preserve">имаемой должности несут ответственность, предусмотренную законодательством Российской Федерации, за несоблюдение принципов и требований Антикоррупционной политики, а также за действие (бездействие) подчиненных им лиц, нарушающих эти принципы и требования.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18.3. К мер</w:t>
      </w:r>
      <w:r>
        <w:rPr>
          <w:rFonts w:ascii="Times New Roman" w:hAnsi="Times New Roman" w:cs="Times New Roman"/>
          <w:sz w:val="28"/>
          <w:szCs w:val="28"/>
        </w:rPr>
        <w:t xml:space="preserve">ам ответственности за коррупционные правонарушения в Организации относятся меры уголовной, административной, дисциплинарной, гражданско-правовой и материальной ответственности в соответствии с действующим законодательством и локальными актами Организации.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19. Взаимодействие с государственными и муниципальными служащими и иными должностными лицами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19.1. Должностные лица/работники/представители Организации должны воздерживаться от любых предложений, принятие которых может поставить государственного или муниципального служащего в ситуацию конфликта интересов.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19.2. Организацией принимаются меры, направленные на недопущение привлечения ее к административной ответственности по основаниям,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предусмотренным ст. 19.28 КоАП РФ, в том числе, помимо прочего, установлен запрет на: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19.2.1. передачу, предложение или </w:t>
      </w:r>
      <w:r>
        <w:rPr>
          <w:rFonts w:ascii="Times New Roman" w:hAnsi="Times New Roman" w:cs="Times New Roman"/>
          <w:sz w:val="28"/>
          <w:szCs w:val="28"/>
        </w:rPr>
        <w:t xml:space="preserve">обещание от имени и в интересах организации государственному или муниципальному служащему,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</w:t>
      </w:r>
      <w:r>
        <w:rPr>
          <w:rFonts w:ascii="Times New Roman" w:hAnsi="Times New Roman" w:cs="Times New Roman"/>
          <w:sz w:val="28"/>
          <w:szCs w:val="28"/>
        </w:rPr>
        <w:t xml:space="preserve">дународной организации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служащего действия (бездействия), связанного с занимаемым им служебным положением;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19.2.2. предложение, передачу и попытки передачи должностным лицам, осуществляющим государственный (муниципальный) контроль, государственный надзор, подарков, дарение которых запрещено</w:t>
      </w:r>
      <w:r>
        <w:rPr>
          <w:rFonts w:ascii="Times New Roman" w:hAnsi="Times New Roman" w:cs="Times New Roman"/>
          <w:sz w:val="28"/>
          <w:szCs w:val="28"/>
        </w:rPr>
        <w:t xml:space="preserve"> применимым законодательством. </w:t>
      </w:r>
      <w:r>
        <w:rPr>
          <w:rFonts w:ascii="Times New Roman" w:hAnsi="Times New Roman" w:cs="Times New Roman"/>
          <w:sz w:val="28"/>
          <w:szCs w:val="28"/>
        </w:rPr>
        <w:t xml:space="preserve">В Организации установлен порядок сообщения в правоохранительные органы о фактах нарушений требований к служебному поведению государственных и муниципальных служащих при осуществлении контрольно-надзорных мероприятий в отношении Организации.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20. Сотрудничество с правоохранительными органами в сфере противодействия коррупции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20.1.1. Сотрудничество с правоохранительными органами является важным показателем приверженности Организации декларируемым антикоррупционным стандартам поведения.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20.2. Организация принимает на себя публичное обязательство: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20.2.1. сообщать в правоохранительные органы о случаях совершения коррупционных и иных правонарушений, о которых Организации стало известно;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20.2.2. воздерживат</w:t>
      </w:r>
      <w:r>
        <w:rPr>
          <w:rFonts w:ascii="Times New Roman" w:hAnsi="Times New Roman" w:cs="Times New Roman"/>
          <w:sz w:val="28"/>
          <w:szCs w:val="28"/>
        </w:rPr>
        <w:t xml:space="preserve">ься от каких-либо санкций в отношении своих должностных лиц и работников, сообщивших в правоохранительные органы о ставшей известной им в ходе выполнения должностных обязанностей информации о подготовке или совершении коррупционного и иного правонарушения;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20.2.3. не допускать неправомерное вмешательство должностных лиц/работников/представителей Организации в деятельность правоохранительных органов при проведении антикоррупционных мероприятий.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 Организация оказывает содействие правоохранительным органам при проведении ими проверок деятельности Организации по вопросам предупреждения и противодействия коррупции.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760" w:right="-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426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7"/>
    <w:next w:val="827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character" w:styleId="656">
    <w:name w:val="Heading 2 Char"/>
    <w:basedOn w:val="830"/>
    <w:link w:val="828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7"/>
    <w:next w:val="827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0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27"/>
    <w:next w:val="827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0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661">
    <w:name w:val="Heading 5 Char"/>
    <w:basedOn w:val="830"/>
    <w:link w:val="829"/>
    <w:uiPriority w:val="9"/>
    <w:rPr>
      <w:rFonts w:ascii="Arial" w:hAnsi="Arial" w:eastAsia="Arial" w:cs="Arial"/>
      <w:b/>
      <w:bCs/>
      <w:sz w:val="24"/>
      <w:szCs w:val="24"/>
    </w:rPr>
  </w:style>
  <w:style w:type="paragraph" w:styleId="662">
    <w:name w:val="Heading 6"/>
    <w:basedOn w:val="827"/>
    <w:next w:val="827"/>
    <w:link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3">
    <w:name w:val="Heading 6 Char"/>
    <w:basedOn w:val="830"/>
    <w:link w:val="662"/>
    <w:uiPriority w:val="9"/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827"/>
    <w:next w:val="827"/>
    <w:link w:val="6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7 Char"/>
    <w:basedOn w:val="830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827"/>
    <w:next w:val="827"/>
    <w:link w:val="6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7">
    <w:name w:val="Heading 8 Char"/>
    <w:basedOn w:val="830"/>
    <w:link w:val="666"/>
    <w:uiPriority w:val="9"/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827"/>
    <w:next w:val="827"/>
    <w:link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9 Char"/>
    <w:basedOn w:val="830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70">
    <w:name w:val="No Spacing"/>
    <w:uiPriority w:val="1"/>
    <w:qFormat/>
    <w:pPr>
      <w:spacing w:before="0" w:after="0" w:line="240" w:lineRule="auto"/>
    </w:pPr>
  </w:style>
  <w:style w:type="paragraph" w:styleId="671">
    <w:name w:val="Title"/>
    <w:basedOn w:val="827"/>
    <w:next w:val="827"/>
    <w:link w:val="6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2">
    <w:name w:val="Title Char"/>
    <w:basedOn w:val="830"/>
    <w:link w:val="671"/>
    <w:uiPriority w:val="10"/>
    <w:rPr>
      <w:sz w:val="48"/>
      <w:szCs w:val="48"/>
    </w:rPr>
  </w:style>
  <w:style w:type="paragraph" w:styleId="673">
    <w:name w:val="Subtitle"/>
    <w:basedOn w:val="827"/>
    <w:next w:val="827"/>
    <w:link w:val="674"/>
    <w:uiPriority w:val="11"/>
    <w:qFormat/>
    <w:pPr>
      <w:spacing w:before="200" w:after="200"/>
    </w:pPr>
    <w:rPr>
      <w:sz w:val="24"/>
      <w:szCs w:val="24"/>
    </w:rPr>
  </w:style>
  <w:style w:type="character" w:styleId="674">
    <w:name w:val="Subtitle Char"/>
    <w:basedOn w:val="830"/>
    <w:link w:val="673"/>
    <w:uiPriority w:val="11"/>
    <w:rPr>
      <w:sz w:val="24"/>
      <w:szCs w:val="24"/>
    </w:rPr>
  </w:style>
  <w:style w:type="paragraph" w:styleId="675">
    <w:name w:val="Quote"/>
    <w:basedOn w:val="827"/>
    <w:next w:val="827"/>
    <w:link w:val="676"/>
    <w:uiPriority w:val="29"/>
    <w:qFormat/>
    <w:pPr>
      <w:ind w:left="720" w:right="720"/>
    </w:pPr>
    <w:rPr>
      <w:i/>
    </w:rPr>
  </w:style>
  <w:style w:type="character" w:styleId="676">
    <w:name w:val="Quote Char"/>
    <w:link w:val="675"/>
    <w:uiPriority w:val="29"/>
    <w:rPr>
      <w:i/>
    </w:rPr>
  </w:style>
  <w:style w:type="paragraph" w:styleId="677">
    <w:name w:val="Intense Quote"/>
    <w:basedOn w:val="827"/>
    <w:next w:val="827"/>
    <w:link w:val="6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8">
    <w:name w:val="Intense Quote Char"/>
    <w:link w:val="677"/>
    <w:uiPriority w:val="30"/>
    <w:rPr>
      <w:i/>
    </w:rPr>
  </w:style>
  <w:style w:type="character" w:styleId="679">
    <w:name w:val="Header Char"/>
    <w:basedOn w:val="830"/>
    <w:link w:val="833"/>
    <w:uiPriority w:val="99"/>
  </w:style>
  <w:style w:type="paragraph" w:styleId="680">
    <w:name w:val="Footer"/>
    <w:basedOn w:val="827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Footer Char"/>
    <w:basedOn w:val="830"/>
    <w:link w:val="680"/>
    <w:uiPriority w:val="99"/>
  </w:style>
  <w:style w:type="paragraph" w:styleId="682">
    <w:name w:val="Caption"/>
    <w:basedOn w:val="827"/>
    <w:next w:val="8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3">
    <w:name w:val="Caption Char"/>
    <w:basedOn w:val="682"/>
    <w:link w:val="680"/>
    <w:uiPriority w:val="99"/>
  </w:style>
  <w:style w:type="table" w:styleId="684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4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5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6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7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8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9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6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7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8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9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0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1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8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9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0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1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2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3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4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6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7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9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1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2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3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4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5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6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7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8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9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4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5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6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7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8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9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0">
    <w:name w:val="footnote text"/>
    <w:basedOn w:val="827"/>
    <w:link w:val="811"/>
    <w:uiPriority w:val="99"/>
    <w:semiHidden/>
    <w:unhideWhenUsed/>
    <w:pPr>
      <w:spacing w:after="40" w:line="240" w:lineRule="auto"/>
    </w:pPr>
    <w:rPr>
      <w:sz w:val="18"/>
    </w:rPr>
  </w:style>
  <w:style w:type="character" w:styleId="811">
    <w:name w:val="Footnote Text Char"/>
    <w:link w:val="810"/>
    <w:uiPriority w:val="99"/>
    <w:rPr>
      <w:sz w:val="18"/>
    </w:rPr>
  </w:style>
  <w:style w:type="character" w:styleId="812">
    <w:name w:val="footnote reference"/>
    <w:basedOn w:val="830"/>
    <w:uiPriority w:val="99"/>
    <w:unhideWhenUsed/>
    <w:rPr>
      <w:vertAlign w:val="superscript"/>
    </w:rPr>
  </w:style>
  <w:style w:type="paragraph" w:styleId="813">
    <w:name w:val="endnote text"/>
    <w:basedOn w:val="827"/>
    <w:link w:val="814"/>
    <w:uiPriority w:val="99"/>
    <w:semiHidden/>
    <w:unhideWhenUsed/>
    <w:pPr>
      <w:spacing w:after="0" w:line="240" w:lineRule="auto"/>
    </w:pPr>
    <w:rPr>
      <w:sz w:val="20"/>
    </w:rPr>
  </w:style>
  <w:style w:type="character" w:styleId="814">
    <w:name w:val="Endnote Text Char"/>
    <w:link w:val="813"/>
    <w:uiPriority w:val="99"/>
    <w:rPr>
      <w:sz w:val="20"/>
    </w:rPr>
  </w:style>
  <w:style w:type="character" w:styleId="815">
    <w:name w:val="endnote reference"/>
    <w:basedOn w:val="830"/>
    <w:uiPriority w:val="99"/>
    <w:semiHidden/>
    <w:unhideWhenUsed/>
    <w:rPr>
      <w:vertAlign w:val="superscript"/>
    </w:rPr>
  </w:style>
  <w:style w:type="paragraph" w:styleId="816">
    <w:name w:val="toc 1"/>
    <w:basedOn w:val="827"/>
    <w:next w:val="827"/>
    <w:uiPriority w:val="39"/>
    <w:unhideWhenUsed/>
    <w:pPr>
      <w:ind w:left="0" w:right="0" w:firstLine="0"/>
      <w:spacing w:after="57"/>
    </w:pPr>
  </w:style>
  <w:style w:type="paragraph" w:styleId="817">
    <w:name w:val="toc 2"/>
    <w:basedOn w:val="827"/>
    <w:next w:val="827"/>
    <w:uiPriority w:val="39"/>
    <w:unhideWhenUsed/>
    <w:pPr>
      <w:ind w:left="283" w:right="0" w:firstLine="0"/>
      <w:spacing w:after="57"/>
    </w:pPr>
  </w:style>
  <w:style w:type="paragraph" w:styleId="818">
    <w:name w:val="toc 3"/>
    <w:basedOn w:val="827"/>
    <w:next w:val="827"/>
    <w:uiPriority w:val="39"/>
    <w:unhideWhenUsed/>
    <w:pPr>
      <w:ind w:left="567" w:right="0" w:firstLine="0"/>
      <w:spacing w:after="57"/>
    </w:pPr>
  </w:style>
  <w:style w:type="paragraph" w:styleId="819">
    <w:name w:val="toc 4"/>
    <w:basedOn w:val="827"/>
    <w:next w:val="827"/>
    <w:uiPriority w:val="39"/>
    <w:unhideWhenUsed/>
    <w:pPr>
      <w:ind w:left="850" w:right="0" w:firstLine="0"/>
      <w:spacing w:after="57"/>
    </w:pPr>
  </w:style>
  <w:style w:type="paragraph" w:styleId="820">
    <w:name w:val="toc 5"/>
    <w:basedOn w:val="827"/>
    <w:next w:val="827"/>
    <w:uiPriority w:val="39"/>
    <w:unhideWhenUsed/>
    <w:pPr>
      <w:ind w:left="1134" w:right="0" w:firstLine="0"/>
      <w:spacing w:after="57"/>
    </w:pPr>
  </w:style>
  <w:style w:type="paragraph" w:styleId="821">
    <w:name w:val="toc 6"/>
    <w:basedOn w:val="827"/>
    <w:next w:val="827"/>
    <w:uiPriority w:val="39"/>
    <w:unhideWhenUsed/>
    <w:pPr>
      <w:ind w:left="1417" w:right="0" w:firstLine="0"/>
      <w:spacing w:after="57"/>
    </w:pPr>
  </w:style>
  <w:style w:type="paragraph" w:styleId="822">
    <w:name w:val="toc 7"/>
    <w:basedOn w:val="827"/>
    <w:next w:val="827"/>
    <w:uiPriority w:val="39"/>
    <w:unhideWhenUsed/>
    <w:pPr>
      <w:ind w:left="1701" w:right="0" w:firstLine="0"/>
      <w:spacing w:after="57"/>
    </w:pPr>
  </w:style>
  <w:style w:type="paragraph" w:styleId="823">
    <w:name w:val="toc 8"/>
    <w:basedOn w:val="827"/>
    <w:next w:val="827"/>
    <w:uiPriority w:val="39"/>
    <w:unhideWhenUsed/>
    <w:pPr>
      <w:ind w:left="1984" w:right="0" w:firstLine="0"/>
      <w:spacing w:after="57"/>
    </w:pPr>
  </w:style>
  <w:style w:type="paragraph" w:styleId="824">
    <w:name w:val="toc 9"/>
    <w:basedOn w:val="827"/>
    <w:next w:val="827"/>
    <w:uiPriority w:val="39"/>
    <w:unhideWhenUsed/>
    <w:pPr>
      <w:ind w:left="2268" w:right="0" w:firstLine="0"/>
      <w:spacing w:after="57"/>
    </w:pPr>
  </w:style>
  <w:style w:type="paragraph" w:styleId="825">
    <w:name w:val="TOC Heading"/>
    <w:uiPriority w:val="39"/>
    <w:unhideWhenUsed/>
  </w:style>
  <w:style w:type="paragraph" w:styleId="826">
    <w:name w:val="table of figures"/>
    <w:basedOn w:val="827"/>
    <w:next w:val="827"/>
    <w:uiPriority w:val="99"/>
    <w:unhideWhenUsed/>
    <w:pPr>
      <w:spacing w:after="0" w:afterAutospacing="0"/>
    </w:pPr>
  </w:style>
  <w:style w:type="paragraph" w:styleId="827" w:default="1">
    <w:name w:val="Normal"/>
    <w:qFormat/>
  </w:style>
  <w:style w:type="paragraph" w:styleId="828">
    <w:name w:val="Heading 2"/>
    <w:basedOn w:val="827"/>
    <w:next w:val="827"/>
    <w:link w:val="841"/>
    <w:qFormat/>
    <w:pPr>
      <w:jc w:val="center"/>
      <w:keepNext/>
      <w:spacing w:after="0" w:line="240" w:lineRule="auto"/>
      <w:outlineLvl w:val="1"/>
    </w:pPr>
    <w:rPr>
      <w:rFonts w:ascii="Times New Roman" w:hAnsi="Times New Roman" w:eastAsia="Times New Roman" w:cs="Times New Roman"/>
      <w:b/>
      <w:bCs/>
      <w:sz w:val="28"/>
      <w:szCs w:val="20"/>
    </w:rPr>
  </w:style>
  <w:style w:type="paragraph" w:styleId="829">
    <w:name w:val="Heading 5"/>
    <w:basedOn w:val="827"/>
    <w:next w:val="827"/>
    <w:link w:val="848"/>
    <w:uiPriority w:val="9"/>
    <w:semiHidden/>
    <w:unhideWhenUsed/>
    <w:qFormat/>
    <w:pPr>
      <w:keepLines/>
      <w:keepNext/>
      <w:spacing w:before="40" w:after="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Header"/>
    <w:basedOn w:val="827"/>
    <w:link w:val="834"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Arial" w:hAnsi="Arial" w:eastAsia="Times New Roman" w:cs="Times New Roman"/>
      <w:sz w:val="20"/>
      <w:szCs w:val="20"/>
    </w:rPr>
  </w:style>
  <w:style w:type="character" w:styleId="834" w:customStyle="1">
    <w:name w:val="Верхний колонтитул Знак"/>
    <w:basedOn w:val="830"/>
    <w:link w:val="833"/>
    <w:rPr>
      <w:rFonts w:ascii="Arial" w:hAnsi="Arial" w:eastAsia="Times New Roman" w:cs="Times New Roman"/>
      <w:sz w:val="20"/>
      <w:szCs w:val="20"/>
    </w:rPr>
  </w:style>
  <w:style w:type="paragraph" w:styleId="835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</w:rPr>
  </w:style>
  <w:style w:type="paragraph" w:styleId="836" w:customStyle="1">
    <w:name w:val="ConsPlusTitle"/>
    <w:pPr>
      <w:spacing w:after="0" w:line="240" w:lineRule="auto"/>
    </w:pPr>
    <w:rPr>
      <w:rFonts w:ascii="Arial" w:hAnsi="Arial" w:eastAsia="Times New Roman" w:cs="Arial"/>
      <w:b/>
      <w:bCs/>
      <w:sz w:val="20"/>
      <w:szCs w:val="20"/>
    </w:rPr>
  </w:style>
  <w:style w:type="paragraph" w:styleId="837">
    <w:name w:val="Body Text"/>
    <w:basedOn w:val="827"/>
    <w:link w:val="838"/>
    <w:pPr>
      <w:spacing w:after="120" w:line="240" w:lineRule="auto"/>
      <w:widowControl w:val="off"/>
    </w:pPr>
    <w:rPr>
      <w:rFonts w:ascii="Arial" w:hAnsi="Arial" w:eastAsia="Times New Roman" w:cs="Times New Roman"/>
      <w:sz w:val="20"/>
      <w:szCs w:val="20"/>
    </w:rPr>
  </w:style>
  <w:style w:type="character" w:styleId="838" w:customStyle="1">
    <w:name w:val="Основной текст Знак"/>
    <w:basedOn w:val="830"/>
    <w:link w:val="837"/>
    <w:rPr>
      <w:rFonts w:ascii="Arial" w:hAnsi="Arial" w:eastAsia="Times New Roman" w:cs="Times New Roman"/>
      <w:sz w:val="20"/>
      <w:szCs w:val="20"/>
    </w:rPr>
  </w:style>
  <w:style w:type="paragraph" w:styleId="839">
    <w:name w:val="Body Text 2"/>
    <w:basedOn w:val="827"/>
    <w:link w:val="840"/>
    <w:unhideWhenUsed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40" w:customStyle="1">
    <w:name w:val="Основной текст 2 Знак"/>
    <w:basedOn w:val="830"/>
    <w:link w:val="839"/>
    <w:rPr>
      <w:rFonts w:ascii="Times New Roman" w:hAnsi="Times New Roman" w:eastAsia="Times New Roman" w:cs="Times New Roman"/>
      <w:sz w:val="24"/>
      <w:szCs w:val="24"/>
    </w:rPr>
  </w:style>
  <w:style w:type="character" w:styleId="841" w:customStyle="1">
    <w:name w:val="Заголовок 2 Знак"/>
    <w:basedOn w:val="830"/>
    <w:link w:val="828"/>
    <w:rPr>
      <w:rFonts w:ascii="Times New Roman" w:hAnsi="Times New Roman" w:eastAsia="Times New Roman" w:cs="Times New Roman"/>
      <w:b/>
      <w:bCs/>
      <w:sz w:val="28"/>
      <w:szCs w:val="20"/>
    </w:rPr>
  </w:style>
  <w:style w:type="paragraph" w:styleId="842" w:customStyle="1">
    <w:name w:val="Block Quotation"/>
    <w:basedOn w:val="827"/>
    <w:pPr>
      <w:ind w:left="567" w:right="-2" w:firstLine="851"/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8"/>
      <w:szCs w:val="20"/>
    </w:rPr>
  </w:style>
  <w:style w:type="paragraph" w:styleId="843" w:customStyle="1">
    <w:name w:val="ConsPlusCell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844">
    <w:name w:val="List Paragraph"/>
    <w:basedOn w:val="827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45" w:customStyle="1">
    <w:name w:val="Основной текст (2)_"/>
    <w:basedOn w:val="830"/>
    <w:link w:val="846"/>
    <w:rPr>
      <w:sz w:val="28"/>
      <w:szCs w:val="28"/>
      <w:shd w:val="clear" w:color="auto" w:fill="ffffff"/>
    </w:rPr>
  </w:style>
  <w:style w:type="paragraph" w:styleId="846" w:customStyle="1">
    <w:name w:val="Основной текст (2)"/>
    <w:basedOn w:val="827"/>
    <w:link w:val="845"/>
    <w:pPr>
      <w:jc w:val="both"/>
      <w:spacing w:before="300" w:after="300" w:line="329" w:lineRule="exact"/>
      <w:shd w:val="clear" w:color="auto" w:fill="ffffff"/>
      <w:widowControl w:val="off"/>
    </w:pPr>
    <w:rPr>
      <w:sz w:val="28"/>
      <w:szCs w:val="28"/>
    </w:rPr>
  </w:style>
  <w:style w:type="character" w:styleId="847">
    <w:name w:val="Hyperlink"/>
    <w:basedOn w:val="830"/>
    <w:uiPriority w:val="99"/>
    <w:unhideWhenUsed/>
    <w:rPr>
      <w:color w:val="0000ff"/>
      <w:u w:val="single"/>
    </w:rPr>
  </w:style>
  <w:style w:type="character" w:styleId="848" w:customStyle="1">
    <w:name w:val="Заголовок 5 Знак"/>
    <w:basedOn w:val="830"/>
    <w:link w:val="829"/>
    <w:uiPriority w:val="9"/>
    <w:semiHidden/>
    <w:rPr>
      <w:rFonts w:asciiTheme="majorHAnsi" w:hAnsiTheme="majorHAnsi" w:eastAsiaTheme="majorEastAsia" w:cstheme="majorBidi"/>
      <w:color w:val="365f91" w:themeColor="accent1" w:themeShade="B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wmf"/><Relationship Id="rId9" Type="http://schemas.openxmlformats.org/officeDocument/2006/relationships/hyperlink" Target="https://login.consultant.ru/link/?rnd=200E0E9A53FA47394FC8E04A4C81944C&amp;req=doc&amp;base=LAW&amp;n=355123&amp;dst=100025&amp;fld=134&amp;REFFIELD=134&amp;REFDST=1997&amp;REFDOC=358826&amp;REFBASE=LAW&amp;stat=refcode%3D16610%3Bdstident%3D100025%3Bindex%3D3849&amp;date=17.09.2020" TargetMode="External"/><Relationship Id="rId10" Type="http://schemas.openxmlformats.org/officeDocument/2006/relationships/hyperlink" Target="consultantplus://offline/ref=1C17CACC4FE58226B88A9FBB4AE713F4E08F841A7115B1844C22AB01052C0B68D0BF0919CB1FD9B2A2C5E4s378L" TargetMode="External"/><Relationship Id="rId11" Type="http://schemas.openxmlformats.org/officeDocument/2006/relationships/hyperlink" Target="consultantplus://offline/ref=EC856D0F3AE987076DA2D8D4FEC963AE3E39DECA3E83EF0E19411C5C201F83B353C4D7E005AD61EFB62E18F74A9ACB07BF613B0626K0L7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5</cp:revision>
  <dcterms:created xsi:type="dcterms:W3CDTF">2023-07-31T07:02:00Z</dcterms:created>
  <dcterms:modified xsi:type="dcterms:W3CDTF">2024-10-25T09:38:09Z</dcterms:modified>
</cp:coreProperties>
</file>